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6F" w:rsidRDefault="00DA0B64" w:rsidP="00DA0B6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главы</w:t>
      </w:r>
    </w:p>
    <w:p w:rsidR="00DA0B64" w:rsidRDefault="00DA0B64" w:rsidP="00DA0B64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сельского  поселения Майский  сельсовет</w:t>
      </w:r>
    </w:p>
    <w:p w:rsidR="00DA0B64" w:rsidRDefault="00DA0B64" w:rsidP="00DA0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муниципального района</w:t>
      </w:r>
    </w:p>
    <w:p w:rsidR="00DA0B64" w:rsidRDefault="00DA0B64" w:rsidP="00DA0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Иглинский  район </w:t>
      </w:r>
    </w:p>
    <w:p w:rsidR="00DA0B64" w:rsidRDefault="00DA0B64" w:rsidP="00DA0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Республики Башкортостан</w:t>
      </w:r>
    </w:p>
    <w:p w:rsidR="00DA0B64" w:rsidRPr="00CA366F" w:rsidRDefault="00DA0B64" w:rsidP="00DA0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09 января 2020 год № 02-06-03</w:t>
      </w: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 Финансового органа Ад</w:t>
      </w:r>
      <w:r w:rsidR="00AF085A">
        <w:rPr>
          <w:rFonts w:ascii="Times New Roman" w:hAnsi="Times New Roman" w:cs="Times New Roman"/>
          <w:sz w:val="28"/>
          <w:szCs w:val="28"/>
        </w:rPr>
        <w:t>министрации сельского поселения Майский сельсовет</w:t>
      </w:r>
      <w:bookmarkStart w:id="0" w:name="_GoBack"/>
      <w:bookmarkEnd w:id="0"/>
      <w:r w:rsidRPr="002F1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</w:t>
      </w:r>
      <w:proofErr w:type="gramStart"/>
      <w:r w:rsidR="00CA366F" w:rsidRPr="00CA36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 w:rsidSect="00B3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DF" w:rsidRDefault="00214DDF" w:rsidP="00DA0B64">
      <w:pPr>
        <w:spacing w:after="0" w:line="240" w:lineRule="auto"/>
      </w:pPr>
      <w:r>
        <w:separator/>
      </w:r>
    </w:p>
  </w:endnote>
  <w:endnote w:type="continuationSeparator" w:id="0">
    <w:p w:rsidR="00214DDF" w:rsidRDefault="00214DDF" w:rsidP="00D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DF" w:rsidRDefault="00214DDF" w:rsidP="00DA0B64">
      <w:pPr>
        <w:spacing w:after="0" w:line="240" w:lineRule="auto"/>
      </w:pPr>
      <w:r>
        <w:separator/>
      </w:r>
    </w:p>
  </w:footnote>
  <w:footnote w:type="continuationSeparator" w:id="0">
    <w:p w:rsidR="00214DDF" w:rsidRDefault="00214DDF" w:rsidP="00DA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6F"/>
    <w:rsid w:val="001E34F6"/>
    <w:rsid w:val="00214DDF"/>
    <w:rsid w:val="002A4D97"/>
    <w:rsid w:val="002F1BC7"/>
    <w:rsid w:val="00622AF4"/>
    <w:rsid w:val="00640C08"/>
    <w:rsid w:val="00830515"/>
    <w:rsid w:val="008872CE"/>
    <w:rsid w:val="00922F84"/>
    <w:rsid w:val="00AF085A"/>
    <w:rsid w:val="00B302E3"/>
    <w:rsid w:val="00B335A7"/>
    <w:rsid w:val="00C36856"/>
    <w:rsid w:val="00CA366F"/>
    <w:rsid w:val="00D5335B"/>
    <w:rsid w:val="00D71B66"/>
    <w:rsid w:val="00DA0B64"/>
    <w:rsid w:val="00DC73FD"/>
    <w:rsid w:val="00E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B64"/>
  </w:style>
  <w:style w:type="paragraph" w:styleId="a5">
    <w:name w:val="footer"/>
    <w:basedOn w:val="a"/>
    <w:link w:val="a6"/>
    <w:uiPriority w:val="99"/>
    <w:semiHidden/>
    <w:unhideWhenUsed/>
    <w:rsid w:val="00DA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14</cp:revision>
  <dcterms:created xsi:type="dcterms:W3CDTF">2019-12-18T09:28:00Z</dcterms:created>
  <dcterms:modified xsi:type="dcterms:W3CDTF">2020-01-16T07:39:00Z</dcterms:modified>
</cp:coreProperties>
</file>